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D196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</w:pPr>
    </w:p>
    <w:p w14:paraId="119F17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营口市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工程建设项目招标投标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评定分离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”组织实施操作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val="en-US" w:eastAsia="zh-CN" w:bidi="ar"/>
        </w:rPr>
        <w:t>指引（试行）</w:t>
      </w:r>
    </w:p>
    <w:p w14:paraId="258E14B4">
      <w:pPr>
        <w:pStyle w:val="2"/>
        <w:keepNext w:val="0"/>
        <w:keepLines w:val="0"/>
        <w:pageBreakBefore w:val="0"/>
        <w:widowControl w:val="0"/>
        <w:tabs>
          <w:tab w:val="left" w:pos="74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6B01A69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贯彻落实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《国务院办公厅关于创新完善体制机制推动招标投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标市场规范健康发展的意见》（国办发〔2024〕21号）《国家发展改革委等部门关于印发招标人主体责任履行指引的通知》（发改法规〔2025〕1358号），督促招标人落实主体责任，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中标人确定程序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制定本指引。</w:t>
      </w:r>
    </w:p>
    <w:p w14:paraId="3F8E3B2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64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一、总则</w:t>
      </w:r>
    </w:p>
    <w:p w14:paraId="3193A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评定分离是指将评标和定标作为两个相对独立的环节，评标委员会按照招标文件规定的程序和方法独立开展评审，向招标人推荐中标候选人，并出具评审意见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招标人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招标文件规定的程序和方法</w:t>
      </w:r>
      <w:r>
        <w:rPr>
          <w:rFonts w:hint="eastAsia" w:ascii="仿宋_GB2312" w:hAnsi="仿宋_GB2312" w:eastAsia="仿宋_GB2312" w:cs="仿宋_GB2312"/>
          <w:sz w:val="32"/>
          <w:szCs w:val="32"/>
        </w:rPr>
        <w:t>从评标委员会推荐的中标候选人范围内自主研究确定中标人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1E0BA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发展改革部门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会同有关行业部门制定招标投标“评定分离”政策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并根据试行情况适时予以修订；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住房城乡建设、交通运输、水利、农业农村等行业的行政监督部门，依据法定职责负责对本行业（领域）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工程建设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招标投标“评定分离”开展业务指导和监督，结合本行业领域特点，制定具体实施办法。</w:t>
      </w:r>
    </w:p>
    <w:p w14:paraId="7EC3D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行政区域内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政府投资的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依法必须进行招标的项目原则上采用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评定分离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方式确定中标人。不宜采用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评定分离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方式的，招标人应当向行政监督部门书面说明理由。</w:t>
      </w:r>
    </w:p>
    <w:p w14:paraId="44B4F1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二、组织实施</w:t>
      </w:r>
    </w:p>
    <w:p w14:paraId="304583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（四）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招标人应当按照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充分竞争、优质优价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原则，综合考虑信用、履约、报价等因素，择优选择合适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 w:bidi="ar"/>
        </w:rPr>
        <w:t>的中标候选人为中标人。</w:t>
      </w:r>
    </w:p>
    <w:p w14:paraId="2355D0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招标人应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根据项目特点和实际需求，结合行业招标文件标准文本，依法依规、科学合理编制招标文件并予以公布。招标文件应当载明评标委员会择优推荐中标候选人的程序、方法、数量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；招标人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对中标候选人进行考察、质询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的具体方法；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定标程序、定标方式、定标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素等内容。</w:t>
      </w:r>
    </w:p>
    <w:p w14:paraId="3C8AB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评标委员会完成评标后，应当向招标人提交书面评标报告，并推荐3名中标候选人。评标报告应当对每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中标候选人的优势、不足、风险等进行详细说明，为招标人定标提供专业技术咨询建议。</w:t>
      </w:r>
    </w:p>
    <w:p w14:paraId="1F072D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（七）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在定标会议前招标人可以对中标候选人进行考察、质询，并出具考察、质询报告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，将报告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作为定标要素之一。</w:t>
      </w:r>
    </w:p>
    <w:p w14:paraId="4B735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（八）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招标人负责组建定标委员会，成员数量为5人及以上单数。定标委员会设组长，组长由招标人确定，原则上由招标人的法定代表人、主要负责人、分管负责人担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任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。</w:t>
      </w:r>
    </w:p>
    <w:p w14:paraId="693450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（九）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标委员会成员与中标候选人有利害关系的，应当主动回避。</w:t>
      </w:r>
    </w:p>
    <w:p w14:paraId="74CEC2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Style w:val="9"/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（十）</w:t>
      </w:r>
      <w:r>
        <w:rPr>
          <w:rStyle w:val="9"/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定标会议原则上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应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当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于中标候选人公示期满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或者异议、投诉办结之日起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10日内召开。定标会议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应当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在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公共资源交易中心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进行，并全程录音录像。</w:t>
      </w:r>
    </w:p>
    <w:p w14:paraId="67B815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（十一）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定标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方式可以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采用票决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法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，具体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规则应当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在招标文件中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载明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。投票时，定标委员会成员独立行使投票权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投票采用记名方式并注明投票理由。</w:t>
      </w:r>
    </w:p>
    <w:p w14:paraId="467A62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定标委员会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可以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采取以下方式之一确定中标人：</w:t>
      </w:r>
    </w:p>
    <w:p w14:paraId="37F3D5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1.直接票决法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通过投票，取票数最多且超过半数的为中标人。若中标候选人票数均未超过半数，取票数前2名再次票决确定中标人。因并列无法确定前2名时，由招标人在招标文件中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载明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产生的相关办法。</w:t>
      </w:r>
    </w:p>
    <w:p w14:paraId="3D4F89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2.逐轮票决法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通过投票，每轮淘汰1名票数最少的中标候选人，最终确定中标人。票数最少中标候选人出现并列时，由招标人在招标文件中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载明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产生的相关办法。</w:t>
      </w:r>
    </w:p>
    <w:p w14:paraId="542918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招标人根据项目需要采用其他定标方式的，应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当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在招标文件中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载明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。</w:t>
      </w:r>
    </w:p>
    <w:p w14:paraId="498926C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（十二）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定标结束后，招标人应当及时将定标结果（中标结果）进行公告。招标人应当将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书面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定标报告作为招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标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投标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资料之一进行存档，接受监督部门组织的抽查或监督检查。</w:t>
      </w:r>
    </w:p>
    <w:p w14:paraId="0ACF5A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（十三）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招标人、定标委员会成员及相关工作人员应当严格遵守保密规定，不得以任何形式向外透露定标委员会成员名单、考察或质询报告、中标人推荐以及与定标有关的其他情况。定标会议结束后，定标投票表、过程记录、录音录像等书面或影音资料均由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市公共资源交易中心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统一密封保存。</w:t>
      </w:r>
    </w:p>
    <w:p w14:paraId="412DB74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（十四）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招标人要切实履行主体责任，建立完善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定标制度，对定标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全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过程负责。</w:t>
      </w:r>
    </w:p>
    <w:p w14:paraId="46E9C9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sz w:val="32"/>
          <w:szCs w:val="32"/>
          <w:lang w:val="en-US" w:eastAsia="zh-CN" w:bidi="ar"/>
        </w:rPr>
        <w:t>三、附则</w:t>
      </w:r>
    </w:p>
    <w:p w14:paraId="43DB9C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（十五）本指引自印发之日起实施，有效期两年。</w:t>
      </w:r>
    </w:p>
    <w:p w14:paraId="34E966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lang w:val="en-US" w:eastAsia="zh-CN" w:bidi="ar"/>
        </w:rPr>
        <w:t>（十六）国家、辽宁省对工程建设项目招标投标“评定分离”有明确规定的，从其规定。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32544"/>
    <w:rsid w:val="0ED529EB"/>
    <w:rsid w:val="1A790FCD"/>
    <w:rsid w:val="247E55A5"/>
    <w:rsid w:val="29B62E02"/>
    <w:rsid w:val="2BEB4F7F"/>
    <w:rsid w:val="2D6957C4"/>
    <w:rsid w:val="377F62FB"/>
    <w:rsid w:val="38204163"/>
    <w:rsid w:val="3A93709E"/>
    <w:rsid w:val="401A1065"/>
    <w:rsid w:val="4064285D"/>
    <w:rsid w:val="481E02A5"/>
    <w:rsid w:val="541648CE"/>
    <w:rsid w:val="6BA7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  <w:rPr>
      <w:rFonts w:ascii="Calibri" w:hAnsi="Calibri" w:eastAsia="宋体"/>
      <w:sz w:val="21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qFormat/>
    <w:uiPriority w:val="0"/>
    <w:rPr>
      <w:rFonts w:ascii="华文仿宋" w:hAnsi="华文仿宋" w:eastAsia="华文仿宋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文本"/>
    <w:basedOn w:val="1"/>
    <w:next w:val="3"/>
    <w:qFormat/>
    <w:uiPriority w:val="0"/>
    <w:pPr>
      <w:spacing w:line="360" w:lineRule="auto"/>
      <w:ind w:firstLine="480"/>
    </w:pPr>
    <w:rPr>
      <w:rFonts w:ascii="Times New Roman" w:hAnsi="Times New Roman" w:eastAsia="宋体" w:cs="Times New Roman"/>
      <w:sz w:val="24"/>
    </w:rPr>
  </w:style>
  <w:style w:type="character" w:customStyle="1" w:styleId="9">
    <w:name w:val="15"/>
    <w:basedOn w:val="6"/>
    <w:qFormat/>
    <w:uiPriority w:val="0"/>
    <w:rPr>
      <w:rFonts w:hint="default" w:ascii="Calibri" w:hAnsi="Calibri" w:eastAsia="宋体" w:cs="Calibri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1608</Words>
  <Characters>1621</Characters>
  <Lines>0</Lines>
  <Paragraphs>0</Paragraphs>
  <TotalTime>21</TotalTime>
  <ScaleCrop>false</ScaleCrop>
  <LinksUpToDate>false</LinksUpToDate>
  <CharactersWithSpaces>1621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2025-08-12T15:15:00Z</dcterms:created>
  <dc:creator>Bill.C</dc:creator>
  <cp:lastModifiedBy>你好</cp:lastModifiedBy>
  <cp:lastPrinted>2026-08-24T03:21:00Z</cp:lastPrinted>
  <dcterms:modified xsi:type="dcterms:W3CDTF">2026-08-26T07:41:19Z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eyJoZGlkIjoiMjM5MTAxNjk4MjNlY2RjMjk0ZGNiMmFkMWY4ZjUyZWEiLCJ1c2VySWQiOiI1OTA2NTgxOTYifQ==</vt:lpwstr>
  </property>
  <property fmtid="{D5CDD505-2E9C-101B-9397-08002B2CF9AE}" pid="4" name="ICV">
    <vt:lpwstr>D0F275F437CD457DB3EFAA7348F7764A_13</vt:lpwstr>
  </property>
</Properties>
</file>