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EAED52">
      <w:pPr>
        <w:pStyle w:val="2"/>
        <w:keepNext w:val="0"/>
        <w:keepLines w:val="0"/>
        <w:pageBreakBefore w:val="0"/>
        <w:widowControl/>
        <w:suppressLineNumbers w:val="0"/>
        <w:overflowPunct/>
        <w:topLinePunct w:val="0"/>
        <w:bidi w:val="0"/>
        <w:spacing w:before="0" w:beforeAutospacing="0" w:after="0" w:afterAutospacing="0" w:line="600" w:lineRule="exact"/>
        <w:ind w:left="0" w:right="0" w:firstLine="0"/>
        <w:jc w:val="center"/>
        <w:rPr>
          <w:rFonts w:hint="default" w:ascii="Times New Roman" w:hAnsi="Times New Roman" w:eastAsia="方正小标宋简体" w:cs="Times New Roman"/>
          <w:sz w:val="44"/>
          <w:szCs w:val="44"/>
        </w:rPr>
      </w:pPr>
    </w:p>
    <w:p w14:paraId="41A6767B">
      <w:pPr>
        <w:pStyle w:val="2"/>
        <w:keepNext w:val="0"/>
        <w:keepLines w:val="0"/>
        <w:pageBreakBefore w:val="0"/>
        <w:widowControl/>
        <w:suppressLineNumbers w:val="0"/>
        <w:overflowPunct/>
        <w:topLinePunct w:val="0"/>
        <w:bidi w:val="0"/>
        <w:spacing w:before="0" w:beforeAutospacing="0" w:after="0" w:afterAutospacing="0" w:line="600" w:lineRule="exact"/>
        <w:ind w:left="0" w:right="0" w:firstLine="0"/>
        <w:jc w:val="center"/>
        <w:rPr>
          <w:rFonts w:hint="default" w:ascii="Times New Roman" w:hAnsi="Times New Roman" w:eastAsia="方正小标宋简体" w:cs="Times New Roman"/>
          <w:sz w:val="44"/>
          <w:szCs w:val="44"/>
        </w:rPr>
      </w:pPr>
    </w:p>
    <w:p w14:paraId="053A4FB8">
      <w:pPr>
        <w:pStyle w:val="2"/>
        <w:keepNext w:val="0"/>
        <w:keepLines w:val="0"/>
        <w:pageBreakBefore w:val="0"/>
        <w:widowControl/>
        <w:suppressLineNumbers w:val="0"/>
        <w:overflowPunct/>
        <w:topLinePunct w:val="0"/>
        <w:bidi w:val="0"/>
        <w:spacing w:before="0" w:beforeAutospacing="0" w:after="0" w:afterAutospacing="0" w:line="600" w:lineRule="exact"/>
        <w:ind w:left="0" w:right="0" w:firstLine="0"/>
        <w:jc w:val="center"/>
        <w:rPr>
          <w:rFonts w:hint="default" w:ascii="Times New Roman" w:hAnsi="Times New Roman" w:eastAsia="方正小标宋简体" w:cs="Times New Roman"/>
          <w:sz w:val="44"/>
          <w:szCs w:val="44"/>
        </w:rPr>
      </w:pPr>
    </w:p>
    <w:p w14:paraId="4A187B57">
      <w:pPr>
        <w:pStyle w:val="2"/>
        <w:keepNext w:val="0"/>
        <w:keepLines w:val="0"/>
        <w:pageBreakBefore w:val="0"/>
        <w:widowControl/>
        <w:suppressLineNumbers w:val="0"/>
        <w:overflowPunct/>
        <w:topLinePunct w:val="0"/>
        <w:bidi w:val="0"/>
        <w:spacing w:before="0" w:beforeAutospacing="0" w:after="0" w:afterAutospacing="0" w:line="600" w:lineRule="exact"/>
        <w:ind w:left="0" w:right="0" w:firstLine="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lang w:val="en-US" w:eastAsia="zh-CN"/>
        </w:rPr>
        <w:t>调整</w:t>
      </w:r>
      <w:r>
        <w:rPr>
          <w:rFonts w:hint="default" w:ascii="Times New Roman" w:hAnsi="Times New Roman" w:eastAsia="方正小标宋简体" w:cs="Times New Roman"/>
          <w:sz w:val="44"/>
          <w:szCs w:val="44"/>
        </w:rPr>
        <w:t>我市</w:t>
      </w:r>
      <w:r>
        <w:rPr>
          <w:rFonts w:hint="default" w:ascii="Times New Roman" w:hAnsi="Times New Roman" w:eastAsia="方正小标宋简体" w:cs="Times New Roman"/>
          <w:sz w:val="44"/>
          <w:szCs w:val="44"/>
          <w:lang w:val="en-US" w:eastAsia="zh-CN"/>
        </w:rPr>
        <w:t>主城区政府定价类停车场</w:t>
      </w:r>
      <w:r>
        <w:rPr>
          <w:rFonts w:hint="eastAsia" w:ascii="Times New Roman" w:hAnsi="Times New Roman" w:eastAsia="方正小标宋简体" w:cs="Times New Roman"/>
          <w:sz w:val="44"/>
          <w:szCs w:val="44"/>
          <w:lang w:val="en-US" w:eastAsia="zh-CN"/>
        </w:rPr>
        <w:t>停车服务</w:t>
      </w:r>
      <w:r>
        <w:rPr>
          <w:rFonts w:hint="default" w:ascii="Times New Roman" w:hAnsi="Times New Roman" w:eastAsia="方正小标宋简体" w:cs="Times New Roman"/>
          <w:sz w:val="44"/>
          <w:szCs w:val="44"/>
        </w:rPr>
        <w:t>收费</w:t>
      </w:r>
      <w:r>
        <w:rPr>
          <w:rFonts w:hint="default" w:ascii="Times New Roman" w:hAnsi="Times New Roman" w:eastAsia="方正小标宋简体" w:cs="Times New Roman"/>
          <w:sz w:val="44"/>
          <w:szCs w:val="44"/>
          <w:lang w:val="en-US" w:eastAsia="zh-CN"/>
        </w:rPr>
        <w:t>标准</w:t>
      </w:r>
      <w:r>
        <w:rPr>
          <w:rFonts w:hint="eastAsia" w:ascii="Times New Roman" w:hAnsi="Times New Roman" w:eastAsia="方正小标宋简体" w:cs="Times New Roman"/>
          <w:sz w:val="44"/>
          <w:szCs w:val="44"/>
          <w:lang w:val="en-US" w:eastAsia="zh-CN"/>
        </w:rPr>
        <w:t>及有关事项</w:t>
      </w:r>
      <w:r>
        <w:rPr>
          <w:rFonts w:hint="default" w:ascii="Times New Roman" w:hAnsi="Times New Roman" w:eastAsia="方正小标宋简体" w:cs="Times New Roman"/>
          <w:sz w:val="44"/>
          <w:szCs w:val="44"/>
        </w:rPr>
        <w:t>的通知</w:t>
      </w:r>
    </w:p>
    <w:p w14:paraId="1EF02511">
      <w:pPr>
        <w:pStyle w:val="2"/>
        <w:keepNext w:val="0"/>
        <w:keepLines w:val="0"/>
        <w:pageBreakBefore w:val="0"/>
        <w:widowControl/>
        <w:suppressLineNumbers w:val="0"/>
        <w:overflowPunct/>
        <w:topLinePunct w:val="0"/>
        <w:bidi w:val="0"/>
        <w:spacing w:before="0" w:beforeAutospacing="0" w:after="0" w:afterAutospacing="0" w:line="600" w:lineRule="exact"/>
        <w:ind w:left="0" w:right="0" w:firstLine="0"/>
        <w:jc w:val="center"/>
        <w:rPr>
          <w:rFonts w:hint="default"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sz w:val="44"/>
          <w:szCs w:val="44"/>
          <w:lang w:val="en-US" w:eastAsia="zh-CN"/>
        </w:rPr>
        <w:t>(征求意见稿)</w:t>
      </w:r>
    </w:p>
    <w:p w14:paraId="532A744B">
      <w:pPr>
        <w:keepNext w:val="0"/>
        <w:keepLines w:val="0"/>
        <w:pageBreakBefore w:val="0"/>
        <w:overflowPunct/>
        <w:topLinePunct w:val="0"/>
        <w:bidi w:val="0"/>
        <w:spacing w:line="600" w:lineRule="exact"/>
        <w:rPr>
          <w:rFonts w:hint="default" w:ascii="Times New Roman" w:hAnsi="Times New Roman" w:eastAsia="仿宋_GB2312" w:cs="Times New Roman"/>
          <w:sz w:val="32"/>
          <w:szCs w:val="32"/>
        </w:rPr>
      </w:pPr>
    </w:p>
    <w:p w14:paraId="7911D1EF">
      <w:pPr>
        <w:keepNext w:val="0"/>
        <w:keepLines w:val="0"/>
        <w:pageBreakBefore w:val="0"/>
        <w:overflowPunct/>
        <w:topLinePunct w:val="0"/>
        <w:bidi w:val="0"/>
        <w:spacing w:line="60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站前区、西市区、老边区发改局，</w:t>
      </w:r>
      <w:r>
        <w:rPr>
          <w:rFonts w:hint="eastAsia" w:ascii="Times New Roman" w:hAnsi="Times New Roman" w:eastAsia="仿宋_GB2312" w:cs="Times New Roman"/>
          <w:sz w:val="32"/>
          <w:szCs w:val="32"/>
          <w:lang w:val="en-US" w:eastAsia="zh-CN"/>
        </w:rPr>
        <w:t>市直</w:t>
      </w:r>
      <w:r>
        <w:rPr>
          <w:rFonts w:hint="default" w:ascii="Times New Roman" w:hAnsi="Times New Roman" w:eastAsia="仿宋_GB2312" w:cs="Times New Roman"/>
          <w:sz w:val="32"/>
          <w:szCs w:val="32"/>
          <w:lang w:val="en-US" w:eastAsia="zh-CN"/>
        </w:rPr>
        <w:t>有关单位</w:t>
      </w:r>
      <w:r>
        <w:rPr>
          <w:rFonts w:hint="eastAsia" w:ascii="Times New Roman" w:hAnsi="Times New Roman" w:eastAsia="仿宋_GB2312" w:cs="Times New Roman"/>
          <w:sz w:val="32"/>
          <w:szCs w:val="32"/>
          <w:lang w:val="en-US" w:eastAsia="zh-CN"/>
        </w:rPr>
        <w:t>，有关企业</w:t>
      </w:r>
      <w:r>
        <w:rPr>
          <w:rFonts w:hint="default" w:ascii="Times New Roman" w:hAnsi="Times New Roman" w:eastAsia="仿宋_GB2312" w:cs="Times New Roman"/>
          <w:sz w:val="32"/>
          <w:szCs w:val="32"/>
          <w:lang w:val="en-US" w:eastAsia="zh-CN"/>
        </w:rPr>
        <w:t>：</w:t>
      </w:r>
    </w:p>
    <w:p w14:paraId="5DCE8411">
      <w:pPr>
        <w:keepNext w:val="0"/>
        <w:keepLines w:val="0"/>
        <w:pageBreakBefore w:val="0"/>
        <w:overflowPunct/>
        <w:topLinePunct w:val="0"/>
        <w:bidi w:val="0"/>
        <w:spacing w:line="600" w:lineRule="exact"/>
        <w:ind w:firstLine="640" w:firstLineChars="200"/>
        <w:rPr>
          <w:rFonts w:hint="default" w:ascii="Times New Roman" w:hAnsi="Times New Roman" w:eastAsia="仿宋_GB2312" w:cs="Times New Roman"/>
          <w:i w:val="0"/>
          <w:iCs w:val="0"/>
          <w:caps w:val="0"/>
          <w:color w:val="333333"/>
          <w:spacing w:val="0"/>
          <w:sz w:val="32"/>
          <w:szCs w:val="32"/>
          <w:shd w:val="clear" w:color="auto" w:fill="FFFFFF"/>
          <w:lang w:eastAsia="zh-CN"/>
        </w:rPr>
      </w:pPr>
      <w:r>
        <w:rPr>
          <w:rFonts w:hint="default" w:ascii="Times New Roman" w:hAnsi="Times New Roman" w:eastAsia="仿宋_GB2312" w:cs="Times New Roman"/>
          <w:i w:val="0"/>
          <w:iCs w:val="0"/>
          <w:caps w:val="0"/>
          <w:color w:val="333333"/>
          <w:spacing w:val="0"/>
          <w:sz w:val="32"/>
          <w:szCs w:val="32"/>
          <w:shd w:val="clear" w:color="auto" w:fill="FFFFFF"/>
        </w:rPr>
        <w:t>为</w:t>
      </w:r>
      <w:r>
        <w:rPr>
          <w:rFonts w:hint="default" w:ascii="Times New Roman" w:hAnsi="Times New Roman" w:eastAsia="仿宋_GB2312" w:cs="Times New Roman"/>
          <w:i w:val="0"/>
          <w:iCs w:val="0"/>
          <w:caps w:val="0"/>
          <w:color w:val="333333"/>
          <w:spacing w:val="0"/>
          <w:sz w:val="32"/>
          <w:szCs w:val="32"/>
          <w:shd w:val="clear" w:color="auto" w:fill="FFFFFF"/>
          <w:lang w:eastAsia="zh-CN"/>
        </w:rPr>
        <w:t>进一步</w:t>
      </w:r>
      <w:r>
        <w:rPr>
          <w:rFonts w:hint="default" w:ascii="Times New Roman" w:hAnsi="Times New Roman" w:eastAsia="仿宋_GB2312" w:cs="Times New Roman"/>
          <w:i w:val="0"/>
          <w:iCs w:val="0"/>
          <w:caps w:val="0"/>
          <w:color w:val="333333"/>
          <w:spacing w:val="0"/>
          <w:sz w:val="32"/>
          <w:szCs w:val="32"/>
          <w:shd w:val="clear" w:color="auto" w:fill="FFFFFF"/>
        </w:rPr>
        <w:t>规范我市主城区政府定价停车场机动车停放服务收费行为</w:t>
      </w:r>
      <w:r>
        <w:rPr>
          <w:rFonts w:hint="default" w:ascii="Times New Roman" w:hAnsi="Times New Roman" w:eastAsia="仿宋_GB2312" w:cs="Times New Roman"/>
          <w:i w:val="0"/>
          <w:iCs w:val="0"/>
          <w:caps w:val="0"/>
          <w:color w:val="333333"/>
          <w:spacing w:val="0"/>
          <w:sz w:val="32"/>
          <w:szCs w:val="32"/>
          <w:shd w:val="clear" w:color="auto" w:fill="FFFFFF"/>
          <w:lang w:eastAsia="zh-CN"/>
        </w:rPr>
        <w:t>，根据《</w:t>
      </w:r>
      <w:r>
        <w:rPr>
          <w:rFonts w:hint="default" w:ascii="Times New Roman" w:hAnsi="Times New Roman" w:eastAsia="仿宋_GB2312" w:cs="Times New Roman"/>
          <w:i w:val="0"/>
          <w:iCs w:val="0"/>
          <w:caps w:val="0"/>
          <w:color w:val="333333"/>
          <w:spacing w:val="0"/>
          <w:sz w:val="32"/>
          <w:szCs w:val="32"/>
          <w:shd w:val="clear" w:color="auto" w:fill="FFFFFF"/>
          <w:lang w:val="en-US" w:eastAsia="zh-CN"/>
        </w:rPr>
        <w:t>辽宁省定价目录</w:t>
      </w:r>
      <w:r>
        <w:rPr>
          <w:rFonts w:hint="default" w:ascii="Times New Roman" w:hAnsi="Times New Roman" w:eastAsia="仿宋_GB2312" w:cs="Times New Roman"/>
          <w:i w:val="0"/>
          <w:iCs w:val="0"/>
          <w:caps w:val="0"/>
          <w:color w:val="333333"/>
          <w:spacing w:val="0"/>
          <w:sz w:val="32"/>
          <w:szCs w:val="32"/>
          <w:shd w:val="clear" w:color="auto" w:fill="FFFFFF"/>
          <w:lang w:eastAsia="zh-CN"/>
        </w:rPr>
        <w:t>》《</w:t>
      </w:r>
      <w:r>
        <w:rPr>
          <w:rFonts w:hint="default" w:ascii="Times New Roman" w:hAnsi="Times New Roman" w:eastAsia="仿宋_GB2312" w:cs="Times New Roman"/>
          <w:i w:val="0"/>
          <w:iCs w:val="0"/>
          <w:caps w:val="0"/>
          <w:color w:val="333333"/>
          <w:spacing w:val="0"/>
          <w:sz w:val="32"/>
          <w:szCs w:val="32"/>
          <w:shd w:val="clear" w:color="auto" w:fill="FFFFFF"/>
          <w:lang w:val="en-US" w:eastAsia="zh-CN"/>
        </w:rPr>
        <w:t>省发展改革委关于完善我省机动车停放服务收费管理的通知</w:t>
      </w:r>
      <w:r>
        <w:rPr>
          <w:rFonts w:hint="default" w:ascii="Times New Roman" w:hAnsi="Times New Roman" w:eastAsia="仿宋_GB2312" w:cs="Times New Roman"/>
          <w:i w:val="0"/>
          <w:iCs w:val="0"/>
          <w:caps w:val="0"/>
          <w:color w:val="333333"/>
          <w:spacing w:val="0"/>
          <w:sz w:val="32"/>
          <w:szCs w:val="32"/>
          <w:shd w:val="clear" w:color="auto" w:fill="FFFFFF"/>
          <w:lang w:eastAsia="zh-CN"/>
        </w:rPr>
        <w:t>》（</w:t>
      </w:r>
      <w:r>
        <w:rPr>
          <w:rFonts w:hint="default" w:ascii="Times New Roman" w:hAnsi="Times New Roman" w:eastAsia="仿宋_GB2312" w:cs="Times New Roman"/>
          <w:i w:val="0"/>
          <w:iCs w:val="0"/>
          <w:caps w:val="0"/>
          <w:color w:val="333333"/>
          <w:spacing w:val="0"/>
          <w:sz w:val="32"/>
          <w:szCs w:val="32"/>
          <w:shd w:val="clear" w:color="auto" w:fill="FFFFFF"/>
          <w:lang w:val="en-US" w:eastAsia="zh-CN"/>
        </w:rPr>
        <w:t>辽发改收费〔2021〕271号</w:t>
      </w:r>
      <w:r>
        <w:rPr>
          <w:rFonts w:hint="default" w:ascii="Times New Roman" w:hAnsi="Times New Roman" w:eastAsia="仿宋_GB2312" w:cs="Times New Roman"/>
          <w:i w:val="0"/>
          <w:iCs w:val="0"/>
          <w:caps w:val="0"/>
          <w:color w:val="333333"/>
          <w:spacing w:val="0"/>
          <w:sz w:val="32"/>
          <w:szCs w:val="32"/>
          <w:shd w:val="clear" w:color="auto" w:fill="FFFFFF"/>
          <w:lang w:eastAsia="zh-CN"/>
        </w:rPr>
        <w:t>）</w:t>
      </w:r>
      <w:r>
        <w:rPr>
          <w:rFonts w:hint="default" w:ascii="Times New Roman" w:hAnsi="Times New Roman" w:eastAsia="仿宋_GB2312" w:cs="Times New Roman"/>
          <w:i w:val="0"/>
          <w:iCs w:val="0"/>
          <w:caps w:val="0"/>
          <w:color w:val="333333"/>
          <w:spacing w:val="0"/>
          <w:sz w:val="32"/>
          <w:szCs w:val="32"/>
          <w:shd w:val="clear" w:color="auto" w:fill="FFFFFF"/>
          <w:lang w:val="en-US" w:eastAsia="zh-CN"/>
        </w:rPr>
        <w:t>等有关规定，</w:t>
      </w:r>
      <w:r>
        <w:rPr>
          <w:rFonts w:hint="default" w:ascii="Times New Roman" w:hAnsi="Times New Roman" w:eastAsia="仿宋_GB2312" w:cs="Times New Roman"/>
          <w:sz w:val="32"/>
          <w:szCs w:val="32"/>
        </w:rPr>
        <w:t>现将</w:t>
      </w:r>
      <w:r>
        <w:rPr>
          <w:rFonts w:hint="eastAsia" w:ascii="Times New Roman" w:hAnsi="Times New Roman" w:eastAsia="仿宋_GB2312" w:cs="Times New Roman"/>
          <w:sz w:val="32"/>
          <w:szCs w:val="32"/>
          <w:lang w:val="en-US" w:eastAsia="zh-CN"/>
        </w:rPr>
        <w:t>调整</w:t>
      </w:r>
      <w:r>
        <w:rPr>
          <w:rFonts w:hint="default" w:ascii="Times New Roman" w:hAnsi="Times New Roman" w:eastAsia="仿宋_GB2312" w:cs="Times New Roman"/>
          <w:sz w:val="32"/>
          <w:szCs w:val="32"/>
        </w:rPr>
        <w:t>我市主城区政府定价类停车场机动车停放服务收费标准及有关事项通知如下：</w:t>
      </w:r>
    </w:p>
    <w:p w14:paraId="56333444">
      <w:pPr>
        <w:keepNext w:val="0"/>
        <w:keepLines w:val="0"/>
        <w:pageBreakBefore w:val="0"/>
        <w:numPr>
          <w:ilvl w:val="0"/>
          <w:numId w:val="0"/>
        </w:numPr>
        <w:overflowPunct/>
        <w:topLinePunct w:val="0"/>
        <w:bidi w:val="0"/>
        <w:spacing w:line="600" w:lineRule="exact"/>
        <w:ind w:firstLine="640" w:firstLineChars="200"/>
        <w:rPr>
          <w:rFonts w:hint="default" w:ascii="Times New Roman" w:hAnsi="Times New Roman" w:eastAsia="黑体" w:cs="Times New Roman"/>
          <w:i w:val="0"/>
          <w:iCs w:val="0"/>
          <w:caps w:val="0"/>
          <w:color w:val="333333"/>
          <w:spacing w:val="0"/>
          <w:sz w:val="32"/>
          <w:szCs w:val="32"/>
          <w:shd w:val="clear" w:color="auto" w:fill="FFFFFF"/>
          <w:lang w:val="en-US" w:eastAsia="zh-CN"/>
        </w:rPr>
      </w:pPr>
      <w:r>
        <w:rPr>
          <w:rFonts w:hint="default" w:ascii="Times New Roman" w:hAnsi="Times New Roman" w:eastAsia="黑体" w:cs="Times New Roman"/>
          <w:i w:val="0"/>
          <w:iCs w:val="0"/>
          <w:caps w:val="0"/>
          <w:color w:val="333333"/>
          <w:spacing w:val="0"/>
          <w:kern w:val="2"/>
          <w:sz w:val="32"/>
          <w:szCs w:val="32"/>
          <w:shd w:val="clear" w:color="auto" w:fill="FFFFFF"/>
          <w:lang w:val="en-US" w:eastAsia="zh-CN" w:bidi="ar-SA"/>
        </w:rPr>
        <w:t>一、</w:t>
      </w:r>
      <w:r>
        <w:rPr>
          <w:rFonts w:hint="default" w:ascii="Times New Roman" w:hAnsi="Times New Roman" w:eastAsia="黑体" w:cs="Times New Roman"/>
          <w:i w:val="0"/>
          <w:iCs w:val="0"/>
          <w:caps w:val="0"/>
          <w:color w:val="333333"/>
          <w:spacing w:val="0"/>
          <w:sz w:val="32"/>
          <w:szCs w:val="32"/>
          <w:shd w:val="clear" w:color="auto" w:fill="FFFFFF"/>
          <w:lang w:val="en-US" w:eastAsia="zh-CN"/>
        </w:rPr>
        <w:t>政府定价停车场范围</w:t>
      </w:r>
    </w:p>
    <w:p w14:paraId="4DD8EDAA">
      <w:pPr>
        <w:spacing w:line="560" w:lineRule="exact"/>
        <w:ind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通知所称政府定价类停车场，是指依法设置并具有经营资格的公共文化、交通、体育、医疗、教育、景区等公共设施配套停车场（库、泊位），具有垄断经营特征的停车场（库、泊位），以及政府全额投资建设的停车场（库、泊位）。</w:t>
      </w:r>
    </w:p>
    <w:p w14:paraId="2AEB89E4">
      <w:pPr>
        <w:keepNext w:val="0"/>
        <w:keepLines w:val="0"/>
        <w:pageBreakBefore w:val="0"/>
        <w:numPr>
          <w:ilvl w:val="0"/>
          <w:numId w:val="0"/>
        </w:numPr>
        <w:overflowPunct/>
        <w:topLinePunct w:val="0"/>
        <w:bidi w:val="0"/>
        <w:spacing w:line="600" w:lineRule="exact"/>
        <w:ind w:left="0" w:leftChars="0" w:firstLine="640" w:firstLineChars="200"/>
        <w:rPr>
          <w:rFonts w:hint="default" w:ascii="Times New Roman" w:hAnsi="Times New Roman" w:eastAsia="黑体" w:cs="Times New Roman"/>
          <w:i w:val="0"/>
          <w:iCs w:val="0"/>
          <w:caps w:val="0"/>
          <w:color w:val="333333"/>
          <w:spacing w:val="0"/>
          <w:sz w:val="32"/>
          <w:szCs w:val="32"/>
          <w:shd w:val="clear" w:color="auto" w:fill="FFFFFF"/>
          <w:lang w:val="en-US" w:eastAsia="zh-CN"/>
        </w:rPr>
      </w:pPr>
      <w:r>
        <w:rPr>
          <w:rFonts w:hint="default" w:ascii="Times New Roman" w:hAnsi="Times New Roman" w:eastAsia="黑体" w:cs="Times New Roman"/>
          <w:i w:val="0"/>
          <w:iCs w:val="0"/>
          <w:caps w:val="0"/>
          <w:color w:val="333333"/>
          <w:spacing w:val="0"/>
          <w:kern w:val="2"/>
          <w:sz w:val="32"/>
          <w:szCs w:val="32"/>
          <w:shd w:val="clear" w:color="auto" w:fill="FFFFFF"/>
          <w:lang w:val="en-US" w:eastAsia="zh-CN" w:bidi="ar-SA"/>
        </w:rPr>
        <w:t>二、</w:t>
      </w:r>
      <w:r>
        <w:rPr>
          <w:rFonts w:hint="default" w:ascii="Times New Roman" w:hAnsi="Times New Roman" w:eastAsia="黑体" w:cs="Times New Roman"/>
          <w:i w:val="0"/>
          <w:iCs w:val="0"/>
          <w:caps w:val="0"/>
          <w:color w:val="333333"/>
          <w:spacing w:val="0"/>
          <w:sz w:val="32"/>
          <w:szCs w:val="32"/>
          <w:shd w:val="clear" w:color="auto" w:fill="FFFFFF"/>
          <w:lang w:val="en-US" w:eastAsia="zh-CN"/>
        </w:rPr>
        <w:t>收费标准</w:t>
      </w:r>
    </w:p>
    <w:p w14:paraId="08C5215E">
      <w:pPr>
        <w:spacing w:line="560" w:lineRule="exact"/>
        <w:ind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政府定价类停车场机动车停放服务收费实行计时收费和计次收费两种方式，由停车场经营单位根据停车设施条件和管理实际选择执行。</w:t>
      </w:r>
    </w:p>
    <w:p w14:paraId="107A5B22">
      <w:pPr>
        <w:spacing w:line="560" w:lineRule="exact"/>
        <w:ind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（一）计时收费。机动车停放30分钟以内（含30分钟），免收停车费；停放超过30分钟的，2小时以内（含2小时）收费3元；超过2小时的，每小时加收1元，不足1小时按1小时计费；24小时以内最高收费20元。</w:t>
      </w:r>
    </w:p>
    <w:p w14:paraId="1FAFF3DB">
      <w:pPr>
        <w:spacing w:line="560" w:lineRule="exact"/>
        <w:ind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（二）计次收费。机动车停放30分钟以内（含30分钟）的，免收停车费；停放超过30分钟的，按3元/次收费；连续停放超过12小时的，每12小时累加计费一次。</w:t>
      </w:r>
    </w:p>
    <w:p w14:paraId="699EC6D5">
      <w:pPr>
        <w:spacing w:line="560" w:lineRule="exact"/>
        <w:ind w:firstLineChars="200"/>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三、优惠政策</w:t>
      </w:r>
    </w:p>
    <w:p w14:paraId="54A660B6">
      <w:pPr>
        <w:spacing w:line="560" w:lineRule="exact"/>
        <w:ind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执行任务的军车、警车、消防车、救护车、工程抢险（修）车</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在停车场指定位置接送乘客</w:t>
      </w:r>
      <w:r>
        <w:rPr>
          <w:rFonts w:hint="eastAsia" w:ascii="Times New Roman" w:hAnsi="Times New Roman" w:eastAsia="仿宋_GB2312" w:cs="Times New Roman"/>
          <w:sz w:val="32"/>
          <w:szCs w:val="32"/>
          <w:lang w:val="en-US" w:eastAsia="zh-CN"/>
        </w:rPr>
        <w:t>的</w:t>
      </w:r>
      <w:r>
        <w:rPr>
          <w:rFonts w:hint="default" w:ascii="Times New Roman" w:hAnsi="Times New Roman" w:eastAsia="仿宋_GB2312" w:cs="Times New Roman"/>
          <w:sz w:val="32"/>
          <w:szCs w:val="32"/>
        </w:rPr>
        <w:t>出租车、网约车</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肢体残疾人驾驶或者乘坐的机动车使用无障碍停车位</w:t>
      </w:r>
      <w:r>
        <w:rPr>
          <w:rFonts w:hint="eastAsia" w:ascii="Times New Roman" w:hAnsi="Times New Roman" w:eastAsia="仿宋_GB2312" w:cs="Times New Roman"/>
          <w:sz w:val="32"/>
          <w:szCs w:val="32"/>
          <w:lang w:val="en-US" w:eastAsia="zh-CN"/>
        </w:rPr>
        <w:t>等情形免收停车费。</w:t>
      </w:r>
    </w:p>
    <w:p w14:paraId="2B365D25">
      <w:pPr>
        <w:spacing w:line="560" w:lineRule="exact"/>
        <w:ind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rPr>
        <w:t>）鼓励停车场经营单位结合实际</w:t>
      </w:r>
      <w:r>
        <w:rPr>
          <w:rFonts w:hint="eastAsia" w:ascii="Times New Roman" w:hAnsi="Times New Roman" w:eastAsia="仿宋_GB2312" w:cs="Times New Roman"/>
          <w:sz w:val="32"/>
          <w:szCs w:val="32"/>
          <w:lang w:val="en-US" w:eastAsia="zh-CN"/>
        </w:rPr>
        <w:t>需求设置</w:t>
      </w:r>
      <w:r>
        <w:rPr>
          <w:rFonts w:hint="default" w:ascii="Times New Roman" w:hAnsi="Times New Roman" w:eastAsia="仿宋_GB2312" w:cs="Times New Roman"/>
          <w:sz w:val="32"/>
          <w:szCs w:val="32"/>
        </w:rPr>
        <w:t>停车收费优惠</w:t>
      </w:r>
      <w:r>
        <w:rPr>
          <w:rFonts w:hint="eastAsia" w:ascii="Times New Roman" w:hAnsi="Times New Roman" w:eastAsia="仿宋_GB2312" w:cs="Times New Roman"/>
          <w:sz w:val="32"/>
          <w:szCs w:val="32"/>
          <w:lang w:val="en-US" w:eastAsia="zh-CN"/>
        </w:rPr>
        <w:t>政策</w:t>
      </w:r>
      <w:r>
        <w:rPr>
          <w:rFonts w:hint="default" w:ascii="Times New Roman" w:hAnsi="Times New Roman" w:eastAsia="仿宋_GB2312" w:cs="Times New Roman"/>
          <w:sz w:val="32"/>
          <w:szCs w:val="32"/>
        </w:rPr>
        <w:t>。国家和省、市法律法规及政策对机动车停放服务收费优惠另有规定的，从其规定。</w:t>
      </w:r>
    </w:p>
    <w:p w14:paraId="5B5668A5">
      <w:pPr>
        <w:spacing w:line="560" w:lineRule="exact"/>
        <w:ind w:firstLineChars="200"/>
        <w:jc w:val="both"/>
        <w:rPr>
          <w:rFonts w:hint="eastAsia" w:ascii="Times New Roman" w:hAnsi="Times New Roman" w:eastAsia="黑体" w:cs="Times New Roman"/>
          <w:sz w:val="32"/>
          <w:szCs w:val="32"/>
          <w:lang w:eastAsia="zh-CN"/>
        </w:rPr>
      </w:pPr>
      <w:r>
        <w:rPr>
          <w:rFonts w:hint="default" w:ascii="Times New Roman" w:hAnsi="Times New Roman" w:eastAsia="黑体" w:cs="Times New Roman"/>
          <w:sz w:val="32"/>
          <w:szCs w:val="32"/>
        </w:rPr>
        <w:t>四、有关</w:t>
      </w:r>
      <w:r>
        <w:rPr>
          <w:rFonts w:hint="eastAsia" w:ascii="Times New Roman" w:hAnsi="Times New Roman" w:eastAsia="黑体" w:cs="Times New Roman"/>
          <w:sz w:val="32"/>
          <w:szCs w:val="32"/>
          <w:lang w:val="en-US" w:eastAsia="zh-CN"/>
        </w:rPr>
        <w:t>说明</w:t>
      </w:r>
    </w:p>
    <w:p w14:paraId="393CBD7C">
      <w:pPr>
        <w:spacing w:line="560" w:lineRule="exact"/>
        <w:ind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（一）</w:t>
      </w:r>
      <w:r>
        <w:rPr>
          <w:rFonts w:hint="eastAsia" w:ascii="Times New Roman" w:hAnsi="Times New Roman" w:eastAsia="仿宋_GB2312" w:cs="Times New Roman"/>
          <w:sz w:val="32"/>
          <w:szCs w:val="32"/>
          <w:lang w:val="en-US" w:eastAsia="zh-CN"/>
        </w:rPr>
        <w:t>除上述之外其它依法设置并具有经营资格的机动车停车设施服务收费实行市场调节价管理，由经营者按照实际运营成本和合理利润水平自行确定。</w:t>
      </w:r>
    </w:p>
    <w:p w14:paraId="4454538D">
      <w:pPr>
        <w:spacing w:line="560" w:lineRule="exact"/>
        <w:ind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二</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停车场经营单位实施收费，应当在停车场出入口等显著位置设置收费公示牌，标明停车场名称、收费方式、收费标准、收费依据和监督举报电话等内容，实行明码标价，自觉接受社会监督。</w:t>
      </w:r>
    </w:p>
    <w:p w14:paraId="0F94EA30">
      <w:pPr>
        <w:spacing w:line="560" w:lineRule="exact"/>
        <w:ind w:firstLineChars="200"/>
        <w:jc w:val="both"/>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rPr>
        <w:t>）本通知自2026年</w:t>
      </w:r>
      <w:r>
        <w:rPr>
          <w:rFonts w:hint="eastAsia" w:ascii="Times New Roman" w:hAnsi="Times New Roman" w:eastAsia="仿宋_GB2312" w:cs="Times New Roman"/>
          <w:sz w:val="32"/>
          <w:szCs w:val="32"/>
          <w:lang w:val="en-US" w:eastAsia="zh-CN"/>
        </w:rPr>
        <w:t>x</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x</w:t>
      </w:r>
      <w:bookmarkStart w:id="0" w:name="_GoBack"/>
      <w:bookmarkEnd w:id="0"/>
      <w:r>
        <w:rPr>
          <w:rFonts w:hint="default" w:ascii="Times New Roman" w:hAnsi="Times New Roman" w:eastAsia="仿宋_GB2312" w:cs="Times New Roman"/>
          <w:sz w:val="32"/>
          <w:szCs w:val="32"/>
        </w:rPr>
        <w:t>日起施行。</w:t>
      </w:r>
      <w:r>
        <w:rPr>
          <w:rFonts w:hint="eastAsia" w:ascii="Times New Roman" w:hAnsi="Times New Roman" w:eastAsia="仿宋_GB2312" w:cs="Times New Roman"/>
          <w:sz w:val="32"/>
          <w:szCs w:val="32"/>
          <w:lang w:val="en-US" w:eastAsia="zh-CN"/>
        </w:rPr>
        <w:t>原营发改收费〔2017〕644号、营发改收费〔2023〕246号、营发改收费〔2025〕15号、营发改收费〔2026〕3号、营发改收费〔2026〕86号、营发改收费〔2026〕215号等停车收费批复文件同步作废。</w:t>
      </w:r>
      <w:r>
        <w:rPr>
          <w:rFonts w:hint="default" w:ascii="Times New Roman" w:hAnsi="Times New Roman" w:eastAsia="仿宋_GB2312" w:cs="Times New Roman"/>
          <w:sz w:val="32"/>
          <w:szCs w:val="32"/>
        </w:rPr>
        <w:t>各停车场经营单位应当按规定及时更新收费公示牌、调整收费标准。</w:t>
      </w:r>
    </w:p>
    <w:p w14:paraId="264070B5">
      <w:pPr>
        <w:spacing w:line="560" w:lineRule="exact"/>
        <w:ind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三</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执行期间，国家、省对机动车停放服务收费管理政策另有规定的，从其规定</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此前</w:t>
      </w:r>
      <w:r>
        <w:rPr>
          <w:rFonts w:hint="eastAsia" w:ascii="Times New Roman" w:hAnsi="Times New Roman" w:eastAsia="仿宋_GB2312" w:cs="Times New Roman"/>
          <w:sz w:val="32"/>
          <w:szCs w:val="32"/>
          <w:lang w:val="en-US" w:eastAsia="zh-CN"/>
        </w:rPr>
        <w:t>我委出台的停车收费</w:t>
      </w:r>
      <w:r>
        <w:rPr>
          <w:rFonts w:hint="default" w:ascii="Times New Roman" w:hAnsi="Times New Roman" w:eastAsia="仿宋_GB2312" w:cs="Times New Roman"/>
          <w:sz w:val="32"/>
          <w:szCs w:val="32"/>
        </w:rPr>
        <w:t>有关</w:t>
      </w:r>
      <w:r>
        <w:rPr>
          <w:rFonts w:hint="eastAsia" w:ascii="Times New Roman" w:hAnsi="Times New Roman" w:eastAsia="仿宋_GB2312" w:cs="Times New Roman"/>
          <w:sz w:val="32"/>
          <w:szCs w:val="32"/>
          <w:lang w:val="en-US" w:eastAsia="zh-CN"/>
        </w:rPr>
        <w:t>政策</w:t>
      </w:r>
      <w:r>
        <w:rPr>
          <w:rFonts w:hint="default" w:ascii="Times New Roman" w:hAnsi="Times New Roman" w:eastAsia="仿宋_GB2312" w:cs="Times New Roman"/>
          <w:sz w:val="32"/>
          <w:szCs w:val="32"/>
        </w:rPr>
        <w:t>与本通知不一致的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以本通知为准。执行中的具体问题，由市发展</w:t>
      </w:r>
      <w:r>
        <w:rPr>
          <w:rFonts w:hint="eastAsia" w:ascii="Times New Roman" w:hAnsi="Times New Roman" w:eastAsia="仿宋_GB2312" w:cs="Times New Roman"/>
          <w:sz w:val="32"/>
          <w:szCs w:val="32"/>
          <w:lang w:val="en-US" w:eastAsia="zh-CN"/>
        </w:rPr>
        <w:t>改革委</w:t>
      </w:r>
      <w:r>
        <w:rPr>
          <w:rFonts w:hint="default" w:ascii="Times New Roman" w:hAnsi="Times New Roman" w:eastAsia="仿宋_GB2312" w:cs="Times New Roman"/>
          <w:sz w:val="32"/>
          <w:szCs w:val="32"/>
        </w:rPr>
        <w:t>负责解释。</w:t>
      </w:r>
    </w:p>
    <w:p w14:paraId="39AF581C">
      <w:pPr>
        <w:spacing w:line="560" w:lineRule="exact"/>
        <w:ind w:firstLineChars="200"/>
        <w:jc w:val="both"/>
        <w:rPr>
          <w:rFonts w:hint="eastAsia" w:ascii="Times New Roman" w:hAnsi="Times New Roman" w:eastAsia="仿宋_GB2312" w:cs="Times New Roman"/>
          <w:sz w:val="32"/>
          <w:szCs w:val="32"/>
          <w:lang w:eastAsia="zh-CN"/>
        </w:rPr>
      </w:pPr>
    </w:p>
    <w:p w14:paraId="7AA5615E">
      <w:pPr>
        <w:keepNext w:val="0"/>
        <w:keepLines w:val="0"/>
        <w:pageBreakBefore w:val="0"/>
        <w:numPr>
          <w:ilvl w:val="0"/>
          <w:numId w:val="0"/>
        </w:numPr>
        <w:wordWrap w:val="0"/>
        <w:overflowPunct/>
        <w:topLinePunct w:val="0"/>
        <w:bidi w:val="0"/>
        <w:spacing w:line="600" w:lineRule="exact"/>
        <w:ind w:firstLine="640" w:firstLineChars="200"/>
        <w:jc w:val="right"/>
        <w:rPr>
          <w:rFonts w:hint="default" w:ascii="Times New Roman" w:hAnsi="Times New Roman" w:eastAsia="仿宋_GB2312" w:cs="Times New Roman"/>
          <w:i w:val="0"/>
          <w:iCs w:val="0"/>
          <w:caps w:val="0"/>
          <w:color w:val="auto"/>
          <w:spacing w:val="0"/>
          <w:sz w:val="32"/>
          <w:szCs w:val="32"/>
          <w:vertAlign w:val="baseline"/>
          <w:lang w:val="en-US" w:eastAsia="zh-CN"/>
        </w:rPr>
      </w:pPr>
    </w:p>
    <w:p w14:paraId="3AEE8E10">
      <w:pPr>
        <w:keepNext w:val="0"/>
        <w:keepLines w:val="0"/>
        <w:pageBreakBefore w:val="0"/>
        <w:numPr>
          <w:ilvl w:val="0"/>
          <w:numId w:val="0"/>
        </w:numPr>
        <w:wordWrap w:val="0"/>
        <w:overflowPunct/>
        <w:topLinePunct w:val="0"/>
        <w:bidi w:val="0"/>
        <w:spacing w:line="600" w:lineRule="exact"/>
        <w:ind w:firstLine="640" w:firstLineChars="200"/>
        <w:jc w:val="right"/>
        <w:rPr>
          <w:rFonts w:hint="default" w:ascii="Times New Roman" w:hAnsi="Times New Roman" w:eastAsia="仿宋_GB2312" w:cs="Times New Roman"/>
          <w:i w:val="0"/>
          <w:iCs w:val="0"/>
          <w:caps w:val="0"/>
          <w:color w:val="auto"/>
          <w:spacing w:val="0"/>
          <w:sz w:val="32"/>
          <w:szCs w:val="32"/>
          <w:vertAlign w:val="baseline"/>
          <w:lang w:val="en-US" w:eastAsia="zh-CN"/>
        </w:rPr>
      </w:pPr>
      <w:r>
        <w:rPr>
          <w:rFonts w:hint="default" w:ascii="Times New Roman" w:hAnsi="Times New Roman" w:eastAsia="仿宋_GB2312" w:cs="Times New Roman"/>
          <w:i w:val="0"/>
          <w:iCs w:val="0"/>
          <w:caps w:val="0"/>
          <w:color w:val="auto"/>
          <w:spacing w:val="0"/>
          <w:sz w:val="32"/>
          <w:szCs w:val="32"/>
          <w:vertAlign w:val="baseline"/>
          <w:lang w:val="en-US" w:eastAsia="zh-CN"/>
        </w:rPr>
        <w:t xml:space="preserve">营口市发展和改革委员会 </w:t>
      </w:r>
      <w:r>
        <w:rPr>
          <w:rFonts w:hint="eastAsia" w:ascii="Times New Roman" w:hAnsi="Times New Roman" w:eastAsia="仿宋_GB2312" w:cs="Times New Roman"/>
          <w:i w:val="0"/>
          <w:iCs w:val="0"/>
          <w:caps w:val="0"/>
          <w:color w:val="auto"/>
          <w:spacing w:val="0"/>
          <w:sz w:val="32"/>
          <w:szCs w:val="32"/>
          <w:vertAlign w:val="baseline"/>
          <w:lang w:val="en-US" w:eastAsia="zh-CN"/>
        </w:rPr>
        <w:t xml:space="preserve"> </w:t>
      </w:r>
    </w:p>
    <w:p w14:paraId="518E5AFC">
      <w:pPr>
        <w:keepNext w:val="0"/>
        <w:keepLines w:val="0"/>
        <w:pageBreakBefore w:val="0"/>
        <w:numPr>
          <w:ilvl w:val="0"/>
          <w:numId w:val="0"/>
        </w:numPr>
        <w:wordWrap w:val="0"/>
        <w:overflowPunct/>
        <w:topLinePunct w:val="0"/>
        <w:bidi w:val="0"/>
        <w:spacing w:line="600" w:lineRule="exact"/>
        <w:ind w:firstLine="640" w:firstLineChars="200"/>
        <w:jc w:val="right"/>
        <w:rPr>
          <w:rFonts w:hint="eastAsia" w:ascii="仿宋_GB2312" w:hAnsi="仿宋_GB2312" w:eastAsia="仿宋_GB2312" w:cs="仿宋_GB2312"/>
          <w:i w:val="0"/>
          <w:iCs w:val="0"/>
          <w:caps w:val="0"/>
          <w:color w:val="auto"/>
          <w:spacing w:val="0"/>
          <w:sz w:val="32"/>
          <w:szCs w:val="32"/>
          <w:vertAlign w:val="baseline"/>
          <w:lang w:val="en-US" w:eastAsia="zh-CN"/>
        </w:rPr>
      </w:pPr>
      <w:r>
        <w:rPr>
          <w:rFonts w:hint="default" w:ascii="Times New Roman" w:hAnsi="Times New Roman" w:eastAsia="仿宋_GB2312" w:cs="Times New Roman"/>
          <w:i w:val="0"/>
          <w:iCs w:val="0"/>
          <w:caps w:val="0"/>
          <w:color w:val="auto"/>
          <w:spacing w:val="0"/>
          <w:sz w:val="32"/>
          <w:szCs w:val="32"/>
          <w:vertAlign w:val="baseline"/>
          <w:lang w:val="en-US" w:eastAsia="zh-CN"/>
        </w:rPr>
        <w:t>2026年</w:t>
      </w:r>
      <w:r>
        <w:rPr>
          <w:rFonts w:hint="eastAsia" w:ascii="Times New Roman" w:hAnsi="Times New Roman" w:eastAsia="仿宋_GB2312" w:cs="Times New Roman"/>
          <w:i w:val="0"/>
          <w:iCs w:val="0"/>
          <w:caps w:val="0"/>
          <w:color w:val="auto"/>
          <w:spacing w:val="0"/>
          <w:sz w:val="32"/>
          <w:szCs w:val="32"/>
          <w:vertAlign w:val="baseline"/>
          <w:lang w:val="en-US" w:eastAsia="zh-CN"/>
        </w:rPr>
        <w:t>x</w:t>
      </w:r>
      <w:r>
        <w:rPr>
          <w:rFonts w:hint="default" w:ascii="Times New Roman" w:hAnsi="Times New Roman" w:eastAsia="仿宋_GB2312" w:cs="Times New Roman"/>
          <w:i w:val="0"/>
          <w:iCs w:val="0"/>
          <w:caps w:val="0"/>
          <w:color w:val="auto"/>
          <w:spacing w:val="0"/>
          <w:sz w:val="32"/>
          <w:szCs w:val="32"/>
          <w:vertAlign w:val="baseline"/>
          <w:lang w:val="en-US" w:eastAsia="zh-CN"/>
        </w:rPr>
        <w:t>月</w:t>
      </w:r>
      <w:r>
        <w:rPr>
          <w:rFonts w:hint="eastAsia" w:ascii="Times New Roman" w:hAnsi="Times New Roman" w:eastAsia="仿宋_GB2312" w:cs="Times New Roman"/>
          <w:i w:val="0"/>
          <w:iCs w:val="0"/>
          <w:caps w:val="0"/>
          <w:color w:val="auto"/>
          <w:spacing w:val="0"/>
          <w:sz w:val="32"/>
          <w:szCs w:val="32"/>
          <w:vertAlign w:val="baseline"/>
          <w:lang w:val="en-US" w:eastAsia="zh-CN"/>
        </w:rPr>
        <w:t>x</w:t>
      </w:r>
      <w:r>
        <w:rPr>
          <w:rFonts w:hint="default" w:ascii="Times New Roman" w:hAnsi="Times New Roman" w:eastAsia="仿宋_GB2312" w:cs="Times New Roman"/>
          <w:i w:val="0"/>
          <w:iCs w:val="0"/>
          <w:caps w:val="0"/>
          <w:color w:val="auto"/>
          <w:spacing w:val="0"/>
          <w:sz w:val="32"/>
          <w:szCs w:val="32"/>
          <w:vertAlign w:val="baseline"/>
          <w:lang w:val="en-US" w:eastAsia="zh-CN"/>
        </w:rPr>
        <w:t xml:space="preserve">日  </w:t>
      </w:r>
      <w:r>
        <w:rPr>
          <w:rFonts w:hint="eastAsia" w:ascii="Times New Roman" w:hAnsi="Times New Roman" w:eastAsia="仿宋_GB2312" w:cs="Times New Roman"/>
          <w:i w:val="0"/>
          <w:iCs w:val="0"/>
          <w:caps w:val="0"/>
          <w:color w:val="auto"/>
          <w:spacing w:val="0"/>
          <w:sz w:val="32"/>
          <w:szCs w:val="32"/>
          <w:vertAlign w:val="baseline"/>
          <w:lang w:val="en-US" w:eastAsia="zh-CN"/>
        </w:rPr>
        <w:t xml:space="preserve">  </w:t>
      </w:r>
      <w:r>
        <w:rPr>
          <w:rFonts w:hint="eastAsia" w:ascii="仿宋_GB2312" w:hAnsi="仿宋_GB2312" w:eastAsia="仿宋_GB2312" w:cs="仿宋_GB2312"/>
          <w:i w:val="0"/>
          <w:iCs w:val="0"/>
          <w:caps w:val="0"/>
          <w:color w:val="auto"/>
          <w:spacing w:val="0"/>
          <w:sz w:val="32"/>
          <w:szCs w:val="32"/>
          <w:vertAlign w:val="baseline"/>
          <w:lang w:val="en-US" w:eastAsia="zh-CN"/>
        </w:rPr>
        <w:t xml:space="preserve">  </w:t>
      </w:r>
    </w:p>
    <w:p w14:paraId="25C2C341">
      <w:pPr>
        <w:keepNext w:val="0"/>
        <w:keepLines w:val="0"/>
        <w:pageBreakBefore w:val="0"/>
        <w:overflowPunct/>
        <w:topLinePunct w:val="0"/>
        <w:bidi w:val="0"/>
        <w:spacing w:line="600" w:lineRule="exact"/>
        <w:rPr>
          <w:rFonts w:hint="eastAsia" w:ascii="仿宋_GB2312" w:hAnsi="仿宋_GB2312" w:eastAsia="仿宋_GB2312" w:cs="仿宋_GB2312"/>
          <w:sz w:val="32"/>
          <w:szCs w:val="32"/>
          <w:lang w:val="en-US" w:eastAsia="zh-CN"/>
        </w:rPr>
      </w:pPr>
    </w:p>
    <w:p w14:paraId="425927BC">
      <w:pPr>
        <w:keepNext w:val="0"/>
        <w:keepLines w:val="0"/>
        <w:pageBreakBefore w:val="0"/>
        <w:overflowPunct/>
        <w:topLinePunct w:val="0"/>
        <w:bidi w:val="0"/>
        <w:spacing w:line="600" w:lineRule="exact"/>
        <w:rPr>
          <w:rFonts w:hint="eastAsia" w:ascii="仿宋_GB2312" w:hAnsi="仿宋_GB2312" w:eastAsia="仿宋_GB2312" w:cs="仿宋_GB2312"/>
          <w:sz w:val="32"/>
          <w:szCs w:val="32"/>
          <w:lang w:val="en-US" w:eastAsia="zh-CN"/>
        </w:rPr>
      </w:pPr>
    </w:p>
    <w:p w14:paraId="072A5427">
      <w:pPr>
        <w:keepNext w:val="0"/>
        <w:keepLines w:val="0"/>
        <w:pageBreakBefore w:val="0"/>
        <w:overflowPunct/>
        <w:topLinePunct w:val="0"/>
        <w:bidi w:val="0"/>
        <w:spacing w:line="600" w:lineRule="exact"/>
        <w:rPr>
          <w:rFonts w:ascii="仿宋_GB2312" w:hAnsi="宋体" w:eastAsia="仿宋_GB2312" w:cs="仿宋_GB2312"/>
          <w:i w:val="0"/>
          <w:iCs w:val="0"/>
          <w:caps w:val="0"/>
          <w:color w:val="333333"/>
          <w:spacing w:val="0"/>
          <w:sz w:val="28"/>
          <w:szCs w:val="28"/>
        </w:rPr>
      </w:pPr>
    </w:p>
    <w:p w14:paraId="062CE595">
      <w:pPr>
        <w:keepNext w:val="0"/>
        <w:keepLines w:val="0"/>
        <w:pageBreakBefore w:val="0"/>
        <w:overflowPunct/>
        <w:topLinePunct w:val="0"/>
        <w:bidi w:val="0"/>
        <w:spacing w:line="600" w:lineRule="exact"/>
        <w:rPr>
          <w:rFonts w:ascii="仿宋_GB2312" w:hAnsi="宋体" w:eastAsia="仿宋_GB2312" w:cs="仿宋_GB2312"/>
          <w:i w:val="0"/>
          <w:iCs w:val="0"/>
          <w:caps w:val="0"/>
          <w:color w:val="333333"/>
          <w:spacing w:val="0"/>
          <w:sz w:val="28"/>
          <w:szCs w:val="28"/>
        </w:rPr>
      </w:pPr>
    </w:p>
    <w:p w14:paraId="536CC537">
      <w:pPr>
        <w:keepNext w:val="0"/>
        <w:keepLines w:val="0"/>
        <w:pageBreakBefore w:val="0"/>
        <w:overflowPunct/>
        <w:topLinePunct w:val="0"/>
        <w:bidi w:val="0"/>
        <w:spacing w:line="600" w:lineRule="exact"/>
        <w:rPr>
          <w:rFonts w:ascii="仿宋_GB2312" w:hAnsi="宋体" w:eastAsia="仿宋_GB2312" w:cs="仿宋_GB2312"/>
          <w:i w:val="0"/>
          <w:iCs w:val="0"/>
          <w:caps w:val="0"/>
          <w:color w:val="333333"/>
          <w:spacing w:val="0"/>
          <w:sz w:val="28"/>
          <w:szCs w:val="28"/>
        </w:rPr>
      </w:pPr>
    </w:p>
    <w:p w14:paraId="70107D5B">
      <w:pPr>
        <w:keepNext w:val="0"/>
        <w:keepLines w:val="0"/>
        <w:pageBreakBefore w:val="0"/>
        <w:overflowPunct/>
        <w:topLinePunct w:val="0"/>
        <w:bidi w:val="0"/>
        <w:spacing w:line="600" w:lineRule="exact"/>
        <w:rPr>
          <w:rFonts w:ascii="仿宋_GB2312" w:hAnsi="宋体" w:eastAsia="仿宋_GB2312" w:cs="仿宋_GB2312"/>
          <w:i w:val="0"/>
          <w:iCs w:val="0"/>
          <w:caps w:val="0"/>
          <w:color w:val="333333"/>
          <w:spacing w:val="0"/>
          <w:sz w:val="28"/>
          <w:szCs w:val="28"/>
        </w:rPr>
      </w:pPr>
    </w:p>
    <w:p w14:paraId="774F913D">
      <w:pPr>
        <w:keepNext w:val="0"/>
        <w:keepLines w:val="0"/>
        <w:pageBreakBefore w:val="0"/>
        <w:overflowPunct/>
        <w:topLinePunct w:val="0"/>
        <w:bidi w:val="0"/>
        <w:spacing w:line="600" w:lineRule="exact"/>
        <w:rPr>
          <w:rFonts w:ascii="仿宋_GB2312" w:hAnsi="宋体" w:eastAsia="仿宋_GB2312" w:cs="仿宋_GB2312"/>
          <w:i w:val="0"/>
          <w:iCs w:val="0"/>
          <w:caps w:val="0"/>
          <w:color w:val="333333"/>
          <w:spacing w:val="0"/>
          <w:sz w:val="28"/>
          <w:szCs w:val="28"/>
        </w:rPr>
      </w:pPr>
    </w:p>
    <w:p w14:paraId="6AF11C06">
      <w:pPr>
        <w:keepNext w:val="0"/>
        <w:keepLines w:val="0"/>
        <w:pageBreakBefore w:val="0"/>
        <w:overflowPunct/>
        <w:topLinePunct w:val="0"/>
        <w:bidi w:val="0"/>
        <w:spacing w:line="600" w:lineRule="exact"/>
        <w:rPr>
          <w:rFonts w:ascii="仿宋_GB2312" w:hAnsi="宋体" w:eastAsia="仿宋_GB2312" w:cs="仿宋_GB2312"/>
          <w:i w:val="0"/>
          <w:iCs w:val="0"/>
          <w:caps w:val="0"/>
          <w:color w:val="333333"/>
          <w:spacing w:val="0"/>
          <w:sz w:val="28"/>
          <w:szCs w:val="28"/>
        </w:rPr>
      </w:pPr>
    </w:p>
    <w:p w14:paraId="1D100974">
      <w:pPr>
        <w:keepNext w:val="0"/>
        <w:keepLines w:val="0"/>
        <w:pageBreakBefore w:val="0"/>
        <w:overflowPunct/>
        <w:topLinePunct w:val="0"/>
        <w:bidi w:val="0"/>
        <w:spacing w:line="600" w:lineRule="exact"/>
        <w:rPr>
          <w:rFonts w:ascii="仿宋_GB2312" w:hAnsi="宋体" w:eastAsia="仿宋_GB2312" w:cs="仿宋_GB2312"/>
          <w:i w:val="0"/>
          <w:iCs w:val="0"/>
          <w:caps w:val="0"/>
          <w:color w:val="333333"/>
          <w:spacing w:val="0"/>
          <w:sz w:val="28"/>
          <w:szCs w:val="28"/>
        </w:rPr>
      </w:pPr>
    </w:p>
    <w:p w14:paraId="7226E680">
      <w:pPr>
        <w:keepNext w:val="0"/>
        <w:keepLines w:val="0"/>
        <w:pageBreakBefore w:val="0"/>
        <w:overflowPunct/>
        <w:topLinePunct w:val="0"/>
        <w:bidi w:val="0"/>
        <w:spacing w:line="600" w:lineRule="exact"/>
        <w:rPr>
          <w:rFonts w:ascii="仿宋_GB2312" w:hAnsi="宋体" w:eastAsia="仿宋_GB2312" w:cs="仿宋_GB2312"/>
          <w:i w:val="0"/>
          <w:iCs w:val="0"/>
          <w:caps w:val="0"/>
          <w:color w:val="333333"/>
          <w:spacing w:val="0"/>
          <w:sz w:val="28"/>
          <w:szCs w:val="28"/>
        </w:rPr>
      </w:pPr>
    </w:p>
    <w:p w14:paraId="5B283BDD">
      <w:pPr>
        <w:keepNext w:val="0"/>
        <w:keepLines w:val="0"/>
        <w:pageBreakBefore w:val="0"/>
        <w:overflowPunct/>
        <w:topLinePunct w:val="0"/>
        <w:bidi w:val="0"/>
        <w:spacing w:line="600" w:lineRule="exact"/>
        <w:rPr>
          <w:rFonts w:ascii="仿宋_GB2312" w:hAnsi="宋体" w:eastAsia="仿宋_GB2312" w:cs="仿宋_GB2312"/>
          <w:i w:val="0"/>
          <w:iCs w:val="0"/>
          <w:caps w:val="0"/>
          <w:color w:val="333333"/>
          <w:spacing w:val="0"/>
          <w:sz w:val="28"/>
          <w:szCs w:val="28"/>
        </w:rPr>
      </w:pPr>
    </w:p>
    <w:p w14:paraId="06061B9D">
      <w:pPr>
        <w:keepNext w:val="0"/>
        <w:keepLines w:val="0"/>
        <w:pageBreakBefore w:val="0"/>
        <w:overflowPunct/>
        <w:topLinePunct w:val="0"/>
        <w:bidi w:val="0"/>
        <w:spacing w:line="600" w:lineRule="exact"/>
        <w:rPr>
          <w:rFonts w:ascii="仿宋_GB2312" w:hAnsi="宋体" w:eastAsia="仿宋_GB2312" w:cs="仿宋_GB2312"/>
          <w:i w:val="0"/>
          <w:iCs w:val="0"/>
          <w:caps w:val="0"/>
          <w:color w:val="333333"/>
          <w:spacing w:val="0"/>
          <w:sz w:val="28"/>
          <w:szCs w:val="28"/>
        </w:rPr>
      </w:pPr>
    </w:p>
    <w:p w14:paraId="24AC9627">
      <w:pPr>
        <w:keepNext w:val="0"/>
        <w:keepLines w:val="0"/>
        <w:pageBreakBefore w:val="0"/>
        <w:overflowPunct/>
        <w:topLinePunct w:val="0"/>
        <w:bidi w:val="0"/>
        <w:spacing w:line="600" w:lineRule="exact"/>
        <w:rPr>
          <w:rFonts w:hint="eastAsia" w:ascii="仿宋_GB2312" w:hAnsi="宋体" w:eastAsia="仿宋_GB2312" w:cs="仿宋_GB2312"/>
          <w:i w:val="0"/>
          <w:iCs w:val="0"/>
          <w:caps w:val="0"/>
          <w:color w:val="333333"/>
          <w:spacing w:val="0"/>
          <w:sz w:val="28"/>
          <w:szCs w:val="28"/>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D06233C-AADA-4848-9844-1A25776ABFD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0010101010101"/>
    <w:charset w:val="86"/>
    <w:family w:val="auto"/>
    <w:pitch w:val="default"/>
    <w:sig w:usb0="00000001" w:usb1="080E0000" w:usb2="00000000" w:usb3="00000000" w:csb0="00040000" w:csb1="00000000"/>
    <w:embedRegular r:id="rId2" w:fontKey="{3AAE9A17-287A-4235-90D5-9F042055238B}"/>
  </w:font>
  <w:font w:name="仿宋_GB2312">
    <w:panose1 w:val="02010609030101010101"/>
    <w:charset w:val="86"/>
    <w:family w:val="auto"/>
    <w:pitch w:val="default"/>
    <w:sig w:usb0="00000001" w:usb1="080E0000" w:usb2="00000000" w:usb3="00000000" w:csb0="00040000" w:csb1="00000000"/>
    <w:embedRegular r:id="rId3" w:fontKey="{7A7B41F9-CFF0-4483-9A1E-172716E952F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9B4242"/>
    <w:rsid w:val="1172256D"/>
    <w:rsid w:val="1504743E"/>
    <w:rsid w:val="157B08F2"/>
    <w:rsid w:val="1E8E45CE"/>
    <w:rsid w:val="202076CF"/>
    <w:rsid w:val="28D66B8D"/>
    <w:rsid w:val="311918F0"/>
    <w:rsid w:val="34963DAC"/>
    <w:rsid w:val="383C09C6"/>
    <w:rsid w:val="454F3AE7"/>
    <w:rsid w:val="47767A51"/>
    <w:rsid w:val="4F477F24"/>
    <w:rsid w:val="4F6B3C13"/>
    <w:rsid w:val="506A15EE"/>
    <w:rsid w:val="55C32268"/>
    <w:rsid w:val="5D2F6417"/>
    <w:rsid w:val="5DC360B7"/>
    <w:rsid w:val="5FAA1FF7"/>
    <w:rsid w:val="770E2F52"/>
    <w:rsid w:val="7A805F1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1085</Words>
  <Characters>1133</Characters>
  <TotalTime>36</TotalTime>
  <ScaleCrop>false</ScaleCrop>
  <LinksUpToDate>false</LinksUpToDate>
  <CharactersWithSpaces>1141</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2026-08-17T13:04:00Z</dcterms:created>
  <dc:creator>yuqz</dc:creator>
  <cp:lastModifiedBy>你好</cp:lastModifiedBy>
  <cp:lastPrinted>2026-08-18T07:12:00Z</cp:lastPrinted>
  <dcterms:modified xsi:type="dcterms:W3CDTF">2026-08-21T01:26:58Z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eyJoZGlkIjoiMjM5MTAxNjk4MjNlY2RjMjk0ZGNiMmFkMWY4ZjUyZWEiLCJ1c2VySWQiOiI1OTA2NTgxOTYifQ==</vt:lpwstr>
  </property>
  <property fmtid="{D5CDD505-2E9C-101B-9397-08002B2CF9AE}" pid="3" name="KSOProductBuildVer">
    <vt:lpwstr>2052-12.1.0.28043</vt:lpwstr>
  </property>
  <property fmtid="{D5CDD505-2E9C-101B-9397-08002B2CF9AE}" pid="4" name="ICV">
    <vt:lpwstr>3D7632D9302043DAA045D1E8658C9EFA_12</vt:lpwstr>
  </property>
</Properties>
</file>